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7" w:rsidRPr="00126735" w:rsidRDefault="009726A7" w:rsidP="005E52E9">
      <w:pPr>
        <w:jc w:val="right"/>
        <w:rPr>
          <w:b/>
          <w:i/>
        </w:rPr>
      </w:pPr>
    </w:p>
    <w:p w:rsidR="009726A7" w:rsidRPr="00C411AF" w:rsidRDefault="009726A7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9726A7" w:rsidRDefault="009726A7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9726A7" w:rsidRPr="00C411AF" w:rsidRDefault="009726A7" w:rsidP="005E52E9">
      <w:pPr>
        <w:ind w:firstLine="720"/>
        <w:jc w:val="center"/>
        <w:rPr>
          <w:b/>
          <w:color w:val="000000"/>
        </w:rPr>
      </w:pPr>
    </w:p>
    <w:p w:rsidR="009726A7" w:rsidRPr="00C411AF" w:rsidRDefault="009726A7" w:rsidP="005E52E9">
      <w:pPr>
        <w:jc w:val="center"/>
        <w:rPr>
          <w:b/>
          <w:color w:val="000000"/>
        </w:rPr>
      </w:pPr>
      <w:r>
        <w:rPr>
          <w:color w:val="000000"/>
        </w:rPr>
        <w:t xml:space="preserve">за възлагане на </w:t>
      </w:r>
      <w:r w:rsidRPr="00C411AF"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C411AF">
        <w:rPr>
          <w:b/>
          <w:color w:val="000000"/>
        </w:rPr>
        <w:t xml:space="preserve"> </w:t>
      </w:r>
    </w:p>
    <w:p w:rsidR="009726A7" w:rsidRDefault="009726A7" w:rsidP="00F113AF">
      <w:pPr>
        <w:jc w:val="center"/>
        <w:rPr>
          <w:color w:val="000000"/>
          <w:sz w:val="22"/>
          <w:szCs w:val="22"/>
        </w:rPr>
      </w:pP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</w:p>
    <w:p w:rsidR="009726A7" w:rsidRPr="00F113AF" w:rsidRDefault="009726A7" w:rsidP="00F113AF">
      <w:pPr>
        <w:jc w:val="center"/>
        <w:rPr>
          <w:color w:val="000000"/>
        </w:rPr>
      </w:pPr>
    </w:p>
    <w:p w:rsidR="009726A7" w:rsidRPr="003542D5" w:rsidRDefault="009726A7" w:rsidP="005E52E9">
      <w:pPr>
        <w:jc w:val="center"/>
      </w:pPr>
      <w:r w:rsidRPr="003542D5">
        <w:t>ОТ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9726A7" w:rsidRDefault="009726A7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9726A7" w:rsidRPr="00886E62" w:rsidRDefault="009726A7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9726A7" w:rsidRPr="00C411AF" w:rsidRDefault="009726A7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9726A7" w:rsidRPr="00C411AF" w:rsidRDefault="009726A7" w:rsidP="005E52E9">
      <w:pPr>
        <w:keepNext/>
        <w:ind w:firstLine="720"/>
        <w:jc w:val="both"/>
        <w:rPr>
          <w:b/>
          <w:color w:val="000000"/>
        </w:rPr>
      </w:pPr>
    </w:p>
    <w:p w:rsidR="009726A7" w:rsidRPr="00C411AF" w:rsidRDefault="009726A7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9726A7" w:rsidRPr="00C411AF" w:rsidRDefault="009726A7" w:rsidP="005E52E9">
      <w:pPr>
        <w:keepNext/>
        <w:ind w:firstLine="720"/>
        <w:jc w:val="both"/>
        <w:rPr>
          <w:b/>
          <w:color w:val="000000"/>
        </w:rPr>
      </w:pPr>
    </w:p>
    <w:p w:rsidR="009726A7" w:rsidRPr="00C411AF" w:rsidRDefault="009726A7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9726A7" w:rsidRPr="00C411AF" w:rsidRDefault="009726A7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9726A7" w:rsidRDefault="009726A7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9726A7" w:rsidRPr="00E5333B" w:rsidRDefault="009726A7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9726A7" w:rsidRPr="00E5333B" w:rsidRDefault="009726A7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9726A7" w:rsidRPr="00E5333B" w:rsidRDefault="009726A7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9726A7" w:rsidRPr="00C411AF" w:rsidRDefault="009726A7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9726A7" w:rsidRPr="00C411AF" w:rsidRDefault="009726A7" w:rsidP="005E52E9">
      <w:pPr>
        <w:ind w:left="709"/>
        <w:jc w:val="both"/>
        <w:rPr>
          <w:color w:val="000000"/>
        </w:rPr>
      </w:pPr>
    </w:p>
    <w:p w:rsidR="009726A7" w:rsidRPr="00C411AF" w:rsidRDefault="009726A7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726A7" w:rsidRPr="00C411AF" w:rsidTr="00E36E21">
        <w:tc>
          <w:tcPr>
            <w:tcW w:w="5070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726A7" w:rsidRPr="00C411AF" w:rsidTr="00E36E21">
        <w:tc>
          <w:tcPr>
            <w:tcW w:w="5070" w:type="dxa"/>
          </w:tcPr>
          <w:p w:rsidR="009726A7" w:rsidRPr="00C411AF" w:rsidRDefault="009726A7" w:rsidP="00991454">
            <w:pPr>
              <w:jc w:val="both"/>
              <w:rPr>
                <w:lang w:eastAsia="ar-SA"/>
              </w:rPr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>право да изпълнява строежи от Първа</w:t>
            </w:r>
            <w:r w:rsidRPr="00D94BE8">
              <w:rPr>
                <w:lang w:eastAsia="ar-SA"/>
              </w:rPr>
              <w:t xml:space="preserve"> група, </w:t>
            </w:r>
            <w:r>
              <w:rPr>
                <w:lang w:eastAsia="ar-SA"/>
              </w:rPr>
              <w:t>Пета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9726A7" w:rsidRPr="00C411AF" w:rsidRDefault="009726A7" w:rsidP="005E52E9">
            <w:r w:rsidRPr="00C411AF">
              <w:t>[] Да [] Не</w:t>
            </w:r>
            <w:r w:rsidRPr="00C411AF">
              <w:br/>
            </w:r>
          </w:p>
          <w:p w:rsidR="009726A7" w:rsidRDefault="009726A7" w:rsidP="005E52E9">
            <w:r>
              <w:t>Удостоверение № ...............</w:t>
            </w:r>
          </w:p>
          <w:p w:rsidR="009726A7" w:rsidRPr="00C411AF" w:rsidRDefault="009726A7" w:rsidP="005E52E9">
            <w:r>
              <w:t>Издадено от ......................... на .............</w:t>
            </w:r>
          </w:p>
        </w:tc>
      </w:tr>
    </w:tbl>
    <w:p w:rsidR="009726A7" w:rsidRDefault="009726A7" w:rsidP="005E52E9">
      <w:pPr>
        <w:ind w:left="720"/>
        <w:jc w:val="both"/>
        <w:rPr>
          <w:b/>
          <w:color w:val="000000"/>
        </w:rPr>
      </w:pPr>
    </w:p>
    <w:p w:rsidR="009726A7" w:rsidRPr="00C411AF" w:rsidRDefault="009726A7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726A7" w:rsidRPr="00C411AF" w:rsidTr="00E36E21">
        <w:tc>
          <w:tcPr>
            <w:tcW w:w="5070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726A7" w:rsidRPr="00C411AF" w:rsidTr="00E36E21">
        <w:tc>
          <w:tcPr>
            <w:tcW w:w="5070" w:type="dxa"/>
          </w:tcPr>
          <w:p w:rsidR="009726A7" w:rsidRPr="00AC0FB4" w:rsidRDefault="009726A7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t>Участникът трябва</w:t>
            </w:r>
            <w:r w:rsidRPr="00D71FFA">
              <w:t xml:space="preserve"> </w:t>
            </w:r>
            <w:r>
              <w:t>да има</w:t>
            </w:r>
            <w:r w:rsidRPr="00D71FFA">
              <w:t xml:space="preserve"> застраховка “Професионална отговорност в строителството”, която </w:t>
            </w:r>
            <w:r w:rsidRPr="00D71FFA">
              <w:rPr>
                <w:lang w:eastAsia="ar-SA"/>
              </w:rPr>
              <w:t>покрива минималната застрахователна сума за категорията строеж</w:t>
            </w:r>
            <w:r>
              <w:rPr>
                <w:lang w:eastAsia="ar-SA"/>
              </w:rPr>
              <w:t xml:space="preserve"> -</w:t>
            </w:r>
            <w:r w:rsidRPr="00D71FF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пета</w:t>
            </w:r>
            <w:r w:rsidRPr="00D71FFA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C36E97">
              <w:rPr>
                <w:lang w:eastAsia="ar-SA"/>
              </w:rPr>
              <w:t xml:space="preserve">.  </w:t>
            </w:r>
          </w:p>
        </w:tc>
        <w:tc>
          <w:tcPr>
            <w:tcW w:w="4961" w:type="dxa"/>
          </w:tcPr>
          <w:p w:rsidR="009726A7" w:rsidRPr="00C411AF" w:rsidRDefault="009726A7" w:rsidP="005E52E9">
            <w:r w:rsidRPr="00C411AF">
              <w:t>[] Да [] Не</w:t>
            </w:r>
            <w:r w:rsidRPr="00C411AF">
              <w:br/>
            </w:r>
          </w:p>
          <w:p w:rsidR="009726A7" w:rsidRDefault="009726A7" w:rsidP="005E52E9">
            <w:r>
              <w:t>Застрахователна полица № ...............</w:t>
            </w:r>
          </w:p>
          <w:p w:rsidR="009726A7" w:rsidRDefault="009726A7" w:rsidP="005E52E9">
            <w:r>
              <w:t>на .............</w:t>
            </w:r>
          </w:p>
          <w:p w:rsidR="009726A7" w:rsidRDefault="009726A7" w:rsidP="005E52E9">
            <w:r>
              <w:t>Валидност .....................</w:t>
            </w:r>
          </w:p>
          <w:p w:rsidR="009726A7" w:rsidRPr="00C411AF" w:rsidRDefault="009726A7" w:rsidP="005E52E9">
            <w:r>
              <w:t>Застрахователно покритие ....................</w:t>
            </w:r>
          </w:p>
        </w:tc>
      </w:tr>
    </w:tbl>
    <w:p w:rsidR="009726A7" w:rsidRDefault="009726A7" w:rsidP="005E52E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9726A7" w:rsidRPr="00C411AF" w:rsidRDefault="009726A7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726A7" w:rsidRPr="00C411AF" w:rsidTr="00E36E21">
        <w:tc>
          <w:tcPr>
            <w:tcW w:w="5070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726A7" w:rsidRPr="00C411AF" w:rsidTr="00E36E21">
        <w:tc>
          <w:tcPr>
            <w:tcW w:w="5070" w:type="dxa"/>
          </w:tcPr>
          <w:p w:rsidR="009726A7" w:rsidRPr="00194F6D" w:rsidRDefault="009726A7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</w:t>
            </w:r>
            <w:r>
              <w:rPr>
                <w:lang w:eastAsia="ar-SA"/>
              </w:rPr>
              <w:t>1 (една)</w:t>
            </w:r>
            <w:r w:rsidRPr="00194F6D">
              <w:rPr>
                <w:lang w:eastAsia="ar-SA"/>
              </w:rPr>
              <w:t xml:space="preserve"> дейност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9726A7" w:rsidRPr="007F0B23" w:rsidRDefault="009726A7" w:rsidP="00AC0FB4">
            <w:pPr>
              <w:jc w:val="both"/>
              <w:rPr>
                <w:lang w:eastAsia="ar-SA"/>
              </w:rPr>
            </w:pPr>
            <w:r w:rsidRPr="007F0B23">
              <w:rPr>
                <w:i/>
              </w:rPr>
              <w:t xml:space="preserve">“Строителство с предмет идентичен или сходен с този на </w:t>
            </w:r>
            <w:r>
              <w:rPr>
                <w:i/>
              </w:rPr>
              <w:t xml:space="preserve">настоящата </w:t>
            </w:r>
            <w:r w:rsidRPr="007F0B23">
              <w:rPr>
                <w:i/>
              </w:rPr>
              <w:t>поръчка”</w:t>
            </w:r>
            <w:r w:rsidRPr="00194F6D">
              <w:t xml:space="preserve"> е </w:t>
            </w:r>
            <w:r w:rsidRPr="007F0B23">
              <w:rPr>
                <w:lang w:eastAsia="ar-SA"/>
              </w:rPr>
              <w:t>изграждане и/или реконструкция и/или ремонт на подпорна стена, като самостоятелен строеж или като елемент.</w:t>
            </w:r>
          </w:p>
          <w:p w:rsidR="009726A7" w:rsidRDefault="009726A7" w:rsidP="00AC0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Възложителят не поставя изискване за обем.</w:t>
            </w:r>
          </w:p>
          <w:p w:rsidR="009726A7" w:rsidRDefault="009726A7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9726A7" w:rsidRDefault="009726A7" w:rsidP="00627DF7">
            <w:r w:rsidRPr="00C411AF">
              <w:t>[] Да [] Не</w:t>
            </w:r>
          </w:p>
          <w:p w:rsidR="009726A7" w:rsidRDefault="009726A7" w:rsidP="005E52E9"/>
          <w:p w:rsidR="009726A7" w:rsidRDefault="009726A7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9726A7" w:rsidRDefault="009726A7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9726A7" w:rsidRDefault="009726A7" w:rsidP="00627DF7">
            <w:r w:rsidRPr="00627DF7">
              <w:rPr>
                <w:sz w:val="22"/>
              </w:rPr>
              <w:t>Стойност: [……]</w:t>
            </w:r>
          </w:p>
          <w:p w:rsidR="009726A7" w:rsidRPr="00D17798" w:rsidRDefault="009726A7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9726A7" w:rsidRPr="00C411AF" w:rsidRDefault="009726A7" w:rsidP="005E52E9"/>
        </w:tc>
      </w:tr>
      <w:tr w:rsidR="009726A7" w:rsidRPr="00C411AF" w:rsidTr="00E36E21">
        <w:tc>
          <w:tcPr>
            <w:tcW w:w="5070" w:type="dxa"/>
          </w:tcPr>
          <w:p w:rsidR="009726A7" w:rsidRPr="004056F1" w:rsidRDefault="009726A7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:rsidR="009726A7" w:rsidRDefault="009726A7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2.1. 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:rsidR="009726A7" w:rsidRPr="004056F1" w:rsidRDefault="009726A7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163а от ЗУТ или еквивалентна; </w:t>
            </w:r>
          </w:p>
          <w:p w:rsidR="009726A7" w:rsidRDefault="009726A7" w:rsidP="00F113AF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3D49EE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</w:t>
            </w:r>
            <w:r>
              <w:rPr>
                <w:bCs/>
                <w:lang w:eastAsia="ar-SA"/>
              </w:rPr>
              <w:t>о</w:t>
            </w:r>
            <w:r w:rsidRPr="003D49EE">
              <w:rPr>
                <w:bCs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9726A7" w:rsidRPr="00C85261" w:rsidRDefault="009726A7" w:rsidP="005C645D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AA0332">
              <w:rPr>
                <w:lang w:val="ru-RU" w:eastAsia="ar-SA"/>
              </w:rPr>
              <w:t>2.2.</w:t>
            </w:r>
            <w:r w:rsidRPr="00182E73">
              <w:rPr>
                <w:b/>
                <w:lang w:val="ru-RU"/>
              </w:rPr>
              <w:t xml:space="preserve"> </w:t>
            </w:r>
            <w:r w:rsidRPr="00B14AE5">
              <w:rPr>
                <w:lang w:eastAsia="ar-SA"/>
              </w:rPr>
              <w:t>Инженер г</w:t>
            </w:r>
            <w:r w:rsidRPr="00C85261">
              <w:rPr>
                <w:lang w:eastAsia="ar-SA"/>
              </w:rPr>
              <w:t>еодезист, който:</w:t>
            </w:r>
          </w:p>
          <w:p w:rsidR="009726A7" w:rsidRPr="00B14AE5" w:rsidRDefault="009726A7" w:rsidP="005C645D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C85261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да е с </w:t>
            </w:r>
            <w:r w:rsidRPr="00B14AE5">
              <w:rPr>
                <w:lang w:eastAsia="ar-SA"/>
              </w:rPr>
              <w:t xml:space="preserve">висше образование с образователно-квалификационна степен „магистър” или еквивалентна образователна степен, в случаите когато е придобита в чужбина. Област на висше образование: „Технически науки”, професионално направление „Архитектура, строителство и геодезия“, съгласно Класификатора на областите на висше образование и професионалните направления, утвърден с Постановление № 125 на Министерския съвет от 24.06.2002 г. за утвърждаване класификатор на областите на висше образование и професионални направления (нар. ПМС № 125/ 24.06.2002 г.), специалност „Геодезия” или еквивалентна. </w:t>
            </w:r>
          </w:p>
          <w:p w:rsidR="009726A7" w:rsidRDefault="009726A7" w:rsidP="005C645D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C85261">
              <w:rPr>
                <w:lang w:eastAsia="ar-SA"/>
              </w:rPr>
              <w:t xml:space="preserve">- да притежава опит като </w:t>
            </w:r>
            <w:r>
              <w:rPr>
                <w:lang w:eastAsia="ar-SA"/>
              </w:rPr>
              <w:t>инженер г</w:t>
            </w:r>
            <w:r w:rsidRPr="00C85261">
              <w:rPr>
                <w:lang w:eastAsia="ar-SA"/>
              </w:rPr>
              <w:t xml:space="preserve">еодезист (или на еквивалентна позиция) при изпълнението на най-малко 1 обект, на който има изпълнено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9726A7" w:rsidRPr="003D49EE" w:rsidRDefault="009726A7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>2.3</w:t>
            </w:r>
            <w:r w:rsidRPr="003D49EE">
              <w:rPr>
                <w:color w:val="000000"/>
              </w:rPr>
              <w:t xml:space="preserve">. </w:t>
            </w:r>
            <w:r w:rsidRPr="003D49EE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:rsidR="009726A7" w:rsidRPr="003D49EE" w:rsidRDefault="009726A7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3D49EE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 xml:space="preserve"> </w:t>
            </w:r>
            <w:r w:rsidRPr="003D49EE">
              <w:rPr>
                <w:bCs/>
                <w:lang w:eastAsia="ar-SA"/>
              </w:rPr>
              <w:t>да притежава актуално Удостоверение/Сертификат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:rsidR="009726A7" w:rsidRDefault="009726A7" w:rsidP="00F113AF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3D49EE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 xml:space="preserve"> </w:t>
            </w:r>
            <w:r w:rsidRPr="003D49EE">
              <w:rPr>
                <w:bCs/>
                <w:lang w:eastAsia="ar-SA"/>
              </w:rPr>
              <w:t xml:space="preserve">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</w:t>
            </w:r>
            <w:r w:rsidRPr="00C85261">
              <w:rPr>
                <w:lang w:eastAsia="ar-SA"/>
              </w:rPr>
              <w:t xml:space="preserve">на който има изпълнено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9726A7" w:rsidRPr="00C411AF" w:rsidRDefault="009726A7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:rsidR="009726A7" w:rsidRDefault="009726A7" w:rsidP="005E52E9">
            <w:r w:rsidRPr="00C411AF">
              <w:t>[] Да [] Не</w:t>
            </w:r>
          </w:p>
          <w:p w:rsidR="009726A7" w:rsidRDefault="009726A7" w:rsidP="005E52E9"/>
          <w:p w:rsidR="009726A7" w:rsidRDefault="009726A7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:rsidR="009726A7" w:rsidRDefault="009726A7" w:rsidP="005E52E9">
            <w:pPr>
              <w:rPr>
                <w:i/>
              </w:rPr>
            </w:pPr>
          </w:p>
          <w:p w:rsidR="009726A7" w:rsidRPr="00537AAC" w:rsidRDefault="009726A7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:rsidR="009726A7" w:rsidRDefault="009726A7" w:rsidP="005E52E9">
      <w:pPr>
        <w:ind w:left="709"/>
        <w:jc w:val="both"/>
        <w:rPr>
          <w:b/>
        </w:rPr>
      </w:pPr>
    </w:p>
    <w:p w:rsidR="009726A7" w:rsidRPr="00C411AF" w:rsidRDefault="009726A7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5245"/>
      </w:tblGrid>
      <w:tr w:rsidR="009726A7" w:rsidRPr="00C411AF" w:rsidTr="00E36E21">
        <w:tc>
          <w:tcPr>
            <w:tcW w:w="4786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9726A7" w:rsidRPr="00C411AF" w:rsidRDefault="009726A7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726A7" w:rsidRPr="00C411AF" w:rsidTr="00E36E21">
        <w:tc>
          <w:tcPr>
            <w:tcW w:w="4786" w:type="dxa"/>
          </w:tcPr>
          <w:p w:rsidR="009726A7" w:rsidRPr="00C411AF" w:rsidRDefault="009726A7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9726A7" w:rsidRPr="00C411AF" w:rsidRDefault="009726A7" w:rsidP="005E52E9">
            <w:pPr>
              <w:jc w:val="both"/>
            </w:pPr>
            <w:r w:rsidRPr="00C411AF">
              <w:t>Подизпълнител/и ще бъде/бъдат</w:t>
            </w:r>
          </w:p>
          <w:p w:rsidR="009726A7" w:rsidRPr="00C411AF" w:rsidRDefault="009726A7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9726A7" w:rsidRPr="00C411AF" w:rsidRDefault="009726A7" w:rsidP="005E52E9">
            <w:pPr>
              <w:jc w:val="both"/>
            </w:pPr>
          </w:p>
          <w:p w:rsidR="009726A7" w:rsidRPr="00C411AF" w:rsidRDefault="009726A7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9726A7" w:rsidRPr="00C411AF" w:rsidRDefault="009726A7" w:rsidP="005E52E9">
            <w:pPr>
              <w:jc w:val="both"/>
            </w:pPr>
          </w:p>
          <w:p w:rsidR="009726A7" w:rsidRPr="00C411AF" w:rsidRDefault="009726A7" w:rsidP="005E52E9">
            <w:pPr>
              <w:jc w:val="both"/>
            </w:pPr>
          </w:p>
        </w:tc>
        <w:tc>
          <w:tcPr>
            <w:tcW w:w="5245" w:type="dxa"/>
          </w:tcPr>
          <w:p w:rsidR="009726A7" w:rsidRPr="00C411AF" w:rsidRDefault="009726A7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9726A7" w:rsidRPr="00C411AF" w:rsidRDefault="009726A7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9726A7" w:rsidRPr="00C411AF" w:rsidRDefault="009726A7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9726A7" w:rsidRPr="00C411AF" w:rsidRDefault="009726A7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9726A7" w:rsidRPr="00C411AF" w:rsidRDefault="009726A7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9726A7" w:rsidRPr="00C411AF" w:rsidRDefault="009726A7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9726A7" w:rsidRPr="00C411AF" w:rsidRDefault="009726A7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9726A7" w:rsidRPr="00C411AF" w:rsidRDefault="009726A7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9726A7" w:rsidRDefault="009726A7" w:rsidP="005E52E9">
      <w:pPr>
        <w:pStyle w:val="ListParagraph"/>
        <w:ind w:left="0" w:firstLine="851"/>
        <w:jc w:val="both"/>
      </w:pPr>
    </w:p>
    <w:p w:rsidR="009726A7" w:rsidRPr="00C411AF" w:rsidRDefault="009726A7" w:rsidP="005E52E9">
      <w:pPr>
        <w:pStyle w:val="ListParagraph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9726A7" w:rsidRPr="00C411AF" w:rsidRDefault="009726A7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9726A7" w:rsidRPr="00930445" w:rsidRDefault="009726A7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9726A7" w:rsidRPr="00930445" w:rsidRDefault="009726A7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9726A7" w:rsidRPr="00930445" w:rsidRDefault="009726A7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9726A7" w:rsidRPr="00C411AF" w:rsidRDefault="009726A7" w:rsidP="005E52E9">
      <w:pPr>
        <w:ind w:firstLine="720"/>
        <w:jc w:val="both"/>
        <w:rPr>
          <w:i/>
          <w:color w:val="000000"/>
        </w:rPr>
      </w:pPr>
    </w:p>
    <w:p w:rsidR="009726A7" w:rsidRDefault="009726A7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9726A7" w:rsidRPr="00ED0639" w:rsidRDefault="009726A7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726A7" w:rsidRPr="00A96A3B" w:rsidTr="00ED0639"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9726A7" w:rsidRPr="00A96A3B" w:rsidTr="00ED0639">
        <w:trPr>
          <w:trHeight w:val="351"/>
        </w:trPr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9726A7" w:rsidRPr="00A96A3B" w:rsidRDefault="009726A7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9726A7" w:rsidRPr="00C411AF" w:rsidRDefault="009726A7" w:rsidP="005E52E9">
      <w:pPr>
        <w:jc w:val="center"/>
      </w:pPr>
    </w:p>
    <w:p w:rsidR="009726A7" w:rsidRPr="00840835" w:rsidRDefault="009726A7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9726A7" w:rsidRPr="00C411AF" w:rsidRDefault="009726A7" w:rsidP="005E52E9">
      <w:pPr>
        <w:jc w:val="right"/>
        <w:rPr>
          <w:b/>
        </w:rPr>
      </w:pPr>
    </w:p>
    <w:p w:rsidR="009726A7" w:rsidRPr="00C411AF" w:rsidRDefault="009726A7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9726A7" w:rsidRPr="00C411AF" w:rsidRDefault="009726A7" w:rsidP="005E52E9">
      <w:pPr>
        <w:pStyle w:val="Title"/>
        <w:rPr>
          <w:sz w:val="24"/>
          <w:lang w:val="bg-BG"/>
        </w:rPr>
      </w:pPr>
    </w:p>
    <w:p w:rsidR="009726A7" w:rsidRPr="00C411AF" w:rsidRDefault="009726A7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9726A7" w:rsidRPr="00C411AF" w:rsidRDefault="009726A7" w:rsidP="005E52E9">
      <w:pPr>
        <w:jc w:val="center"/>
      </w:pPr>
    </w:p>
    <w:p w:rsidR="009726A7" w:rsidRPr="00C411AF" w:rsidRDefault="009726A7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9726A7" w:rsidRPr="00C411AF" w:rsidRDefault="009726A7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9726A7" w:rsidRPr="00840835" w:rsidRDefault="009726A7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9726A7" w:rsidRPr="00F113AF" w:rsidRDefault="009726A7" w:rsidP="00991454">
      <w:pPr>
        <w:ind w:firstLine="709"/>
        <w:jc w:val="center"/>
        <w:rPr>
          <w:i/>
          <w:color w:val="000000"/>
        </w:rPr>
      </w:pP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</w:p>
    <w:p w:rsidR="009726A7" w:rsidRPr="00991454" w:rsidRDefault="009726A7" w:rsidP="00991454">
      <w:pPr>
        <w:ind w:firstLine="709"/>
        <w:jc w:val="center"/>
        <w:rPr>
          <w:i/>
          <w:lang w:val="ru-RU"/>
        </w:rPr>
      </w:pPr>
    </w:p>
    <w:p w:rsidR="009726A7" w:rsidRPr="00C411AF" w:rsidRDefault="009726A7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726A7" w:rsidRPr="00C411AF" w:rsidRDefault="009726A7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9726A7" w:rsidRPr="00C411AF" w:rsidRDefault="009726A7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726A7" w:rsidRPr="00C411AF" w:rsidRDefault="009726A7" w:rsidP="005E52E9">
      <w:pPr>
        <w:jc w:val="center"/>
        <w:rPr>
          <w:b/>
        </w:rPr>
      </w:pPr>
    </w:p>
    <w:p w:rsidR="009726A7" w:rsidRPr="00C411AF" w:rsidRDefault="009726A7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9726A7" w:rsidRPr="00C411AF" w:rsidRDefault="009726A7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7" w:anchor="p36391003" w:history="1">
        <w:r w:rsidRPr="00627DF7">
          <w:t>чл. 108а</w:t>
        </w:r>
      </w:hyperlink>
      <w:r w:rsidRPr="00627DF7">
        <w:t>, </w:t>
      </w:r>
      <w:hyperlink r:id="rId8" w:anchor="p27695350" w:history="1">
        <w:r w:rsidRPr="00627DF7">
          <w:t>чл. 159а</w:t>
        </w:r>
      </w:hyperlink>
      <w:r w:rsidRPr="00627DF7">
        <w:t> – </w:t>
      </w:r>
      <w:hyperlink r:id="rId9" w:anchor="p27695353" w:history="1">
        <w:r w:rsidRPr="00627DF7">
          <w:t>159г</w:t>
        </w:r>
      </w:hyperlink>
      <w:r w:rsidRPr="00627DF7">
        <w:t>, </w:t>
      </w:r>
      <w:hyperlink r:id="rId10" w:anchor="p27695373" w:history="1">
        <w:r w:rsidRPr="00627DF7">
          <w:t>чл. 172</w:t>
        </w:r>
      </w:hyperlink>
      <w:r w:rsidRPr="00627DF7">
        <w:t>, </w:t>
      </w:r>
      <w:hyperlink r:id="rId11" w:anchor="p27695396" w:history="1">
        <w:r w:rsidRPr="00627DF7">
          <w:t>чл. 192а</w:t>
        </w:r>
      </w:hyperlink>
      <w:r w:rsidRPr="00627DF7">
        <w:t>, </w:t>
      </w:r>
      <w:hyperlink r:id="rId12" w:anchor="p27695400" w:history="1">
        <w:r w:rsidRPr="00627DF7">
          <w:t>чл. 194</w:t>
        </w:r>
      </w:hyperlink>
      <w:r w:rsidRPr="00627DF7">
        <w:t> – </w:t>
      </w:r>
      <w:hyperlink r:id="rId13" w:anchor="p27695429" w:history="1">
        <w:r w:rsidRPr="00627DF7">
          <w:t>217</w:t>
        </w:r>
      </w:hyperlink>
      <w:r w:rsidRPr="00627DF7">
        <w:t>, </w:t>
      </w:r>
      <w:hyperlink r:id="rId14" w:anchor="p27695435" w:history="1">
        <w:r w:rsidRPr="00627DF7">
          <w:t>чл. 219</w:t>
        </w:r>
      </w:hyperlink>
      <w:r w:rsidRPr="00627DF7">
        <w:t> – </w:t>
      </w:r>
      <w:hyperlink r:id="rId15" w:anchor="p27695481" w:history="1">
        <w:r w:rsidRPr="00627DF7">
          <w:t>252</w:t>
        </w:r>
      </w:hyperlink>
      <w:r w:rsidRPr="00627DF7">
        <w:t>, </w:t>
      </w:r>
      <w:hyperlink r:id="rId16" w:anchor="p29221082" w:history="1">
        <w:r w:rsidRPr="00627DF7">
          <w:t>чл. 253</w:t>
        </w:r>
      </w:hyperlink>
      <w:r w:rsidRPr="00627DF7">
        <w:t> – </w:t>
      </w:r>
      <w:hyperlink r:id="rId17" w:anchor="p27695493" w:history="1">
        <w:r w:rsidRPr="00627DF7">
          <w:t>260</w:t>
        </w:r>
      </w:hyperlink>
      <w:r w:rsidRPr="00627DF7">
        <w:t>, </w:t>
      </w:r>
      <w:hyperlink r:id="rId18" w:anchor="p29221086" w:history="1">
        <w:r w:rsidRPr="00627DF7">
          <w:t>чл. 301</w:t>
        </w:r>
      </w:hyperlink>
      <w:r w:rsidRPr="00627DF7">
        <w:t> – </w:t>
      </w:r>
      <w:hyperlink r:id="rId19" w:anchor="p29221087" w:history="1">
        <w:r w:rsidRPr="00627DF7">
          <w:t>307</w:t>
        </w:r>
      </w:hyperlink>
      <w:r w:rsidRPr="00627DF7">
        <w:t>, </w:t>
      </w:r>
      <w:hyperlink r:id="rId20" w:anchor="p27695570" w:history="1">
        <w:r w:rsidRPr="00627DF7">
          <w:t>чл. 321</w:t>
        </w:r>
      </w:hyperlink>
      <w:r w:rsidRPr="00627DF7">
        <w:t>, </w:t>
      </w:r>
      <w:hyperlink r:id="rId21" w:anchor="p5974115" w:history="1">
        <w:r w:rsidRPr="00627DF7">
          <w:t>321а</w:t>
        </w:r>
      </w:hyperlink>
      <w:r w:rsidRPr="00627DF7">
        <w:t> и </w:t>
      </w:r>
      <w:hyperlink r:id="rId22" w:anchor="p27695608" w:history="1">
        <w:r w:rsidRPr="00627DF7">
          <w:t>чл. 352</w:t>
        </w:r>
      </w:hyperlink>
      <w:r w:rsidRPr="00627DF7">
        <w:t> – </w:t>
      </w:r>
      <w:hyperlink r:id="rId23" w:anchor="p5974377" w:history="1">
        <w:r w:rsidRPr="00627DF7">
          <w:t>353е от Наказателния кодекс</w:t>
        </w:r>
      </w:hyperlink>
      <w:r w:rsidRPr="00C411AF">
        <w:t>.</w:t>
      </w:r>
    </w:p>
    <w:p w:rsidR="009726A7" w:rsidRPr="00C411AF" w:rsidRDefault="009726A7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9726A7" w:rsidRPr="00C411AF" w:rsidRDefault="009726A7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9726A7" w:rsidRPr="00840835" w:rsidRDefault="009726A7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9726A7" w:rsidRPr="00C411AF" w:rsidRDefault="009726A7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9726A7" w:rsidRPr="00C411AF" w:rsidRDefault="009726A7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9726A7" w:rsidRPr="00C411AF" w:rsidRDefault="009726A7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  <w:rPr>
          <w:bCs/>
        </w:rPr>
      </w:pPr>
    </w:p>
    <w:p w:rsidR="009726A7" w:rsidRPr="00930445" w:rsidRDefault="009726A7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9726A7" w:rsidRPr="00C411AF" w:rsidRDefault="009726A7" w:rsidP="005E52E9"/>
    <w:p w:rsidR="009726A7" w:rsidRDefault="009726A7" w:rsidP="005E52E9">
      <w:r>
        <w:br w:type="page"/>
      </w:r>
    </w:p>
    <w:p w:rsidR="009726A7" w:rsidRPr="00C411AF" w:rsidRDefault="009726A7" w:rsidP="005E52E9"/>
    <w:p w:rsidR="009726A7" w:rsidRPr="00C411AF" w:rsidRDefault="009726A7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9726A7" w:rsidRPr="00C411AF" w:rsidRDefault="009726A7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9726A7" w:rsidRPr="00C411AF" w:rsidRDefault="009726A7" w:rsidP="005E52E9">
      <w:pPr>
        <w:jc w:val="center"/>
      </w:pPr>
    </w:p>
    <w:p w:rsidR="009726A7" w:rsidRPr="00C411AF" w:rsidRDefault="009726A7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9726A7" w:rsidRPr="00C411AF" w:rsidRDefault="009726A7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9726A7" w:rsidRPr="00C411AF" w:rsidRDefault="009726A7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9726A7" w:rsidRDefault="009726A7" w:rsidP="005E52E9">
      <w:pPr>
        <w:ind w:left="720" w:hanging="11"/>
        <w:jc w:val="center"/>
        <w:rPr>
          <w:color w:val="000000"/>
          <w:sz w:val="22"/>
          <w:szCs w:val="22"/>
        </w:rPr>
      </w:pP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</w:p>
    <w:p w:rsidR="009726A7" w:rsidRPr="00C411AF" w:rsidRDefault="009726A7" w:rsidP="005E52E9">
      <w:pPr>
        <w:ind w:left="720" w:hanging="11"/>
        <w:jc w:val="center"/>
      </w:pPr>
    </w:p>
    <w:p w:rsidR="009726A7" w:rsidRPr="00C411AF" w:rsidRDefault="009726A7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726A7" w:rsidRPr="00C411AF" w:rsidRDefault="009726A7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9726A7" w:rsidRPr="00C411AF" w:rsidRDefault="009726A7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726A7" w:rsidRPr="00C411AF" w:rsidRDefault="009726A7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Pr="00C411AF" w:rsidRDefault="009726A7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9726A7" w:rsidRPr="00190B11" w:rsidRDefault="009726A7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9726A7" w:rsidRPr="00190B11" w:rsidRDefault="009726A7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4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9726A7" w:rsidRPr="00C411AF" w:rsidRDefault="009726A7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9726A7" w:rsidRPr="00C411AF" w:rsidRDefault="009726A7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9726A7" w:rsidRPr="00721A45" w:rsidRDefault="009726A7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9726A7" w:rsidRPr="00721A45" w:rsidRDefault="009726A7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726A7" w:rsidRPr="00721A45" w:rsidRDefault="009726A7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9726A7" w:rsidRPr="00721A45" w:rsidRDefault="009726A7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6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7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9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1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5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6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7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9726A7" w:rsidRPr="00C411AF" w:rsidRDefault="009726A7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9726A7" w:rsidRDefault="009726A7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9726A7" w:rsidRDefault="009726A7" w:rsidP="005E52E9">
      <w:pPr>
        <w:ind w:firstLine="720"/>
        <w:jc w:val="both"/>
      </w:pPr>
    </w:p>
    <w:p w:rsidR="009726A7" w:rsidRPr="00C411AF" w:rsidRDefault="009726A7" w:rsidP="005E52E9">
      <w:pPr>
        <w:ind w:firstLine="720"/>
        <w:jc w:val="both"/>
      </w:pPr>
    </w:p>
    <w:p w:rsidR="009726A7" w:rsidRPr="00C411AF" w:rsidRDefault="009726A7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726A7" w:rsidRDefault="009726A7" w:rsidP="00930445">
      <w:pPr>
        <w:rPr>
          <w:b/>
          <w:bCs/>
          <w:i/>
        </w:rPr>
      </w:pPr>
    </w:p>
    <w:p w:rsidR="009726A7" w:rsidRDefault="009726A7" w:rsidP="00930445">
      <w:pPr>
        <w:rPr>
          <w:b/>
          <w:bCs/>
          <w:i/>
        </w:rPr>
      </w:pPr>
    </w:p>
    <w:p w:rsidR="009726A7" w:rsidRDefault="009726A7" w:rsidP="00930445">
      <w:pPr>
        <w:rPr>
          <w:b/>
          <w:bCs/>
          <w:i/>
        </w:rPr>
      </w:pPr>
    </w:p>
    <w:p w:rsidR="009726A7" w:rsidRPr="00930445" w:rsidRDefault="009726A7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8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39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9726A7" w:rsidRPr="00930445" w:rsidRDefault="009726A7" w:rsidP="005E52E9">
      <w:pPr>
        <w:rPr>
          <w:b/>
          <w:bCs/>
          <w:i/>
        </w:rPr>
      </w:pPr>
    </w:p>
    <w:p w:rsidR="009726A7" w:rsidRPr="00C411AF" w:rsidRDefault="009726A7" w:rsidP="005E52E9"/>
    <w:p w:rsidR="009726A7" w:rsidRPr="00C411AF" w:rsidRDefault="009726A7" w:rsidP="005E52E9"/>
    <w:p w:rsidR="009726A7" w:rsidRPr="00C411AF" w:rsidRDefault="009726A7" w:rsidP="005E52E9"/>
    <w:p w:rsidR="009726A7" w:rsidRDefault="009726A7" w:rsidP="005E52E9">
      <w:pPr>
        <w:pStyle w:val="Title"/>
        <w:ind w:firstLine="288"/>
        <w:rPr>
          <w:sz w:val="24"/>
          <w:lang w:val="bg-BG"/>
        </w:rPr>
        <w:sectPr w:rsidR="009726A7" w:rsidSect="00E01A64">
          <w:headerReference w:type="default" r:id="rId40"/>
          <w:footerReference w:type="even" r:id="rId41"/>
          <w:footerReference w:type="default" r:id="rId42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9726A7" w:rsidRPr="00840835" w:rsidRDefault="009726A7" w:rsidP="00721A45">
      <w:pPr>
        <w:rPr>
          <w:lang w:val="ru-RU"/>
        </w:rPr>
      </w:pPr>
    </w:p>
    <w:p w:rsidR="009726A7" w:rsidRPr="00840835" w:rsidRDefault="009726A7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9726A7" w:rsidRPr="00C411AF" w:rsidRDefault="009726A7" w:rsidP="00721A45">
      <w:pPr>
        <w:rPr>
          <w:b/>
          <w:lang w:eastAsia="en-US"/>
        </w:rPr>
      </w:pPr>
    </w:p>
    <w:p w:rsidR="009726A7" w:rsidRDefault="009726A7" w:rsidP="00A96A3B">
      <w:pPr>
        <w:ind w:left="6372"/>
        <w:rPr>
          <w:b/>
        </w:rPr>
      </w:pPr>
      <w:r>
        <w:rPr>
          <w:b/>
        </w:rPr>
        <w:t>ДО</w:t>
      </w:r>
    </w:p>
    <w:p w:rsidR="009726A7" w:rsidRDefault="009726A7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9726A7" w:rsidRPr="00A96A3B" w:rsidRDefault="009726A7" w:rsidP="00A96A3B">
      <w:pPr>
        <w:ind w:left="6372"/>
        <w:rPr>
          <w:b/>
        </w:rPr>
      </w:pPr>
    </w:p>
    <w:p w:rsidR="009726A7" w:rsidRPr="002A524F" w:rsidRDefault="009726A7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9726A7" w:rsidRPr="00C02A54" w:rsidRDefault="009726A7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9726A7" w:rsidRDefault="009726A7" w:rsidP="00991454">
      <w:pPr>
        <w:jc w:val="center"/>
        <w:rPr>
          <w:color w:val="000000"/>
        </w:rPr>
      </w:pP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</w:p>
    <w:p w:rsidR="009726A7" w:rsidRDefault="009726A7" w:rsidP="00991454">
      <w:pPr>
        <w:jc w:val="center"/>
        <w:rPr>
          <w:color w:val="000000"/>
        </w:rPr>
      </w:pPr>
    </w:p>
    <w:p w:rsidR="009726A7" w:rsidRPr="002A524F" w:rsidRDefault="009726A7" w:rsidP="00991454">
      <w:pPr>
        <w:jc w:val="center"/>
      </w:pPr>
      <w:r w:rsidRPr="002A524F">
        <w:t>От:______________________________________________________________</w:t>
      </w:r>
    </w:p>
    <w:p w:rsidR="009726A7" w:rsidRPr="002A524F" w:rsidRDefault="009726A7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9726A7" w:rsidRPr="002A524F" w:rsidRDefault="009726A7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9726A7" w:rsidRPr="002A524F" w:rsidRDefault="009726A7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9726A7" w:rsidRPr="002A524F" w:rsidRDefault="009726A7" w:rsidP="00A96A3B">
      <w:pPr>
        <w:ind w:firstLine="288"/>
        <w:jc w:val="both"/>
        <w:rPr>
          <w:b/>
        </w:rPr>
      </w:pPr>
    </w:p>
    <w:p w:rsidR="009726A7" w:rsidRPr="00C02A54" w:rsidRDefault="009726A7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9726A7" w:rsidRDefault="009726A7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9726A7" w:rsidRPr="00C02A54" w:rsidRDefault="009726A7" w:rsidP="00A96A3B">
      <w:pPr>
        <w:ind w:firstLine="513"/>
        <w:jc w:val="both"/>
      </w:pPr>
    </w:p>
    <w:p w:rsidR="009726A7" w:rsidRDefault="009726A7" w:rsidP="00991454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  <w:r>
        <w:rPr>
          <w:color w:val="000000"/>
          <w:spacing w:val="1"/>
        </w:rPr>
        <w:t>.</w:t>
      </w:r>
    </w:p>
    <w:p w:rsidR="009726A7" w:rsidRDefault="009726A7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9726A7" w:rsidRPr="00551214" w:rsidRDefault="009726A7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</w:t>
      </w:r>
      <w:r w:rsidRPr="007E0869">
        <w:t xml:space="preserve">(обр. 2/2а) </w:t>
      </w:r>
      <w:r w:rsidRPr="00551214">
        <w:t xml:space="preserve">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9726A7" w:rsidRPr="00551214" w:rsidRDefault="009726A7" w:rsidP="00A96A3B">
      <w:pPr>
        <w:jc w:val="both"/>
        <w:rPr>
          <w:b/>
          <w:position w:val="8"/>
        </w:rPr>
      </w:pPr>
    </w:p>
    <w:p w:rsidR="009726A7" w:rsidRPr="00ED0639" w:rsidRDefault="009726A7" w:rsidP="00ED0639">
      <w:pPr>
        <w:pStyle w:val="ListParagraph"/>
        <w:ind w:left="0" w:firstLine="567"/>
        <w:jc w:val="both"/>
        <w:rPr>
          <w:i/>
          <w:color w:val="000000"/>
        </w:rPr>
      </w:pPr>
      <w:r w:rsidRPr="00AD3EAA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AD3EAA">
        <w:rPr>
          <w:i/>
        </w:rPr>
        <w:t xml:space="preserve">Предложеният срок за изпълнение трябва да бъде посочен в календарни дни и не може да бъде по-кратък от </w:t>
      </w:r>
      <w:r>
        <w:rPr>
          <w:i/>
        </w:rPr>
        <w:t>100</w:t>
      </w:r>
      <w:r w:rsidRPr="00AD3EAA">
        <w:rPr>
          <w:i/>
        </w:rPr>
        <w:t xml:space="preserve"> дни и не по-дълъг от </w:t>
      </w:r>
      <w:r>
        <w:rPr>
          <w:i/>
        </w:rPr>
        <w:t>160</w:t>
      </w:r>
      <w:r w:rsidRPr="00AD3EAA">
        <w:rPr>
          <w:i/>
        </w:rPr>
        <w:t xml:space="preserve"> дни.)</w:t>
      </w:r>
    </w:p>
    <w:p w:rsidR="009726A7" w:rsidRPr="00ED0639" w:rsidRDefault="009726A7" w:rsidP="00A96A3B">
      <w:pPr>
        <w:jc w:val="both"/>
        <w:rPr>
          <w:position w:val="8"/>
        </w:rPr>
      </w:pPr>
    </w:p>
    <w:p w:rsidR="009726A7" w:rsidRPr="00B636DA" w:rsidRDefault="009726A7" w:rsidP="00B636DA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lang w:val="bg-BG" w:eastAsia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> </w:t>
      </w:r>
      <w:r w:rsidRPr="00B636DA">
        <w:rPr>
          <w:rFonts w:ascii="Times New Roman" w:hAnsi="Times New Roman"/>
          <w:lang w:val="bg-BG" w:eastAsia="bg-BG"/>
        </w:rPr>
        <w:t>Гаранционните срокове за строежа са съгласно чл. 20, ал. 3 и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9726A7" w:rsidRPr="00ED0639" w:rsidRDefault="009726A7" w:rsidP="00A96A3B">
      <w:pPr>
        <w:tabs>
          <w:tab w:val="left" w:pos="709"/>
        </w:tabs>
        <w:jc w:val="both"/>
        <w:rPr>
          <w:i/>
          <w:lang w:val="ru-RU"/>
        </w:rPr>
      </w:pPr>
    </w:p>
    <w:p w:rsidR="009726A7" w:rsidRPr="00ED0639" w:rsidRDefault="009726A7" w:rsidP="00CA7E6A">
      <w:pPr>
        <w:spacing w:line="280" w:lineRule="atLeast"/>
        <w:ind w:firstLine="426"/>
        <w:jc w:val="both"/>
        <w:rPr>
          <w:color w:val="000000"/>
        </w:rPr>
      </w:pPr>
      <w:r w:rsidRPr="00ED0639">
        <w:rPr>
          <w:b/>
          <w:color w:val="000000"/>
        </w:rPr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9726A7" w:rsidRPr="00ED0639" w:rsidRDefault="009726A7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9726A7" w:rsidRPr="00ED0639" w:rsidRDefault="009726A7" w:rsidP="00A96A3B">
      <w:pPr>
        <w:tabs>
          <w:tab w:val="left" w:pos="0"/>
        </w:tabs>
        <w:jc w:val="both"/>
        <w:rPr>
          <w:b/>
        </w:rPr>
      </w:pPr>
    </w:p>
    <w:p w:rsidR="009726A7" w:rsidRPr="002A524F" w:rsidRDefault="009726A7" w:rsidP="00CA7E6A">
      <w:pPr>
        <w:ind w:firstLine="708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FootnoteReference"/>
        </w:rPr>
        <w:footnoteReference w:id="1"/>
      </w:r>
      <w:r w:rsidRPr="00A91500">
        <w:t>.</w:t>
      </w:r>
    </w:p>
    <w:p w:rsidR="009726A7" w:rsidRPr="002A524F" w:rsidRDefault="009726A7" w:rsidP="00A96A3B">
      <w:pPr>
        <w:ind w:left="713"/>
        <w:jc w:val="both"/>
      </w:pPr>
    </w:p>
    <w:p w:rsidR="009726A7" w:rsidRPr="002A524F" w:rsidRDefault="009726A7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9726A7" w:rsidRPr="00C71591" w:rsidRDefault="009726A7" w:rsidP="00A96A3B">
      <w:pPr>
        <w:tabs>
          <w:tab w:val="left" w:pos="0"/>
        </w:tabs>
        <w:jc w:val="both"/>
        <w:rPr>
          <w:highlight w:val="yellow"/>
        </w:rPr>
      </w:pPr>
    </w:p>
    <w:p w:rsidR="009726A7" w:rsidRDefault="009726A7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9726A7" w:rsidRPr="00FD1689" w:rsidRDefault="009726A7" w:rsidP="0015510F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:rsidR="009726A7" w:rsidRPr="00930B41" w:rsidRDefault="009726A7" w:rsidP="00930B41">
      <w:pPr>
        <w:pStyle w:val="ListParagraph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9726A7" w:rsidRDefault="009726A7" w:rsidP="00930B41">
      <w:pPr>
        <w:pStyle w:val="ListParagraph"/>
        <w:ind w:left="0"/>
        <w:jc w:val="both"/>
      </w:pPr>
    </w:p>
    <w:p w:rsidR="009726A7" w:rsidRPr="00930B41" w:rsidRDefault="009726A7" w:rsidP="00930B41">
      <w:pPr>
        <w:pStyle w:val="ListParagraph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:rsidR="009726A7" w:rsidRPr="0029226F" w:rsidRDefault="009726A7" w:rsidP="00930B41">
      <w:pPr>
        <w:pStyle w:val="ListParagraph"/>
        <w:ind w:left="0"/>
        <w:jc w:val="both"/>
      </w:pPr>
      <w:r w:rsidRPr="0029226F">
        <w:t>(</w:t>
      </w:r>
      <w:r w:rsidRPr="00930B41">
        <w:rPr>
          <w:i/>
        </w:rPr>
        <w:t>Линеен график</w:t>
      </w:r>
      <w:r w:rsidRPr="0029226F"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:rsidR="009726A7" w:rsidRPr="00A96A3B" w:rsidRDefault="009726A7" w:rsidP="0015510F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9726A7" w:rsidRPr="00A96A3B" w:rsidRDefault="009726A7" w:rsidP="0015510F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9726A7" w:rsidRPr="00A96A3B" w:rsidRDefault="009726A7" w:rsidP="00A96A3B">
      <w:pPr>
        <w:rPr>
          <w:b/>
          <w:i/>
        </w:rPr>
      </w:pPr>
    </w:p>
    <w:p w:rsidR="009726A7" w:rsidRPr="00A96A3B" w:rsidRDefault="009726A7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9726A7" w:rsidRPr="00A96A3B" w:rsidRDefault="009726A7" w:rsidP="00A96A3B">
      <w:pPr>
        <w:rPr>
          <w:b/>
          <w:i/>
        </w:rPr>
      </w:pPr>
    </w:p>
    <w:p w:rsidR="009726A7" w:rsidRPr="00A96A3B" w:rsidRDefault="009726A7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726A7" w:rsidRPr="00A96A3B" w:rsidTr="00ED0639"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9726A7" w:rsidRPr="00A96A3B" w:rsidTr="00ED0639">
        <w:trPr>
          <w:trHeight w:val="351"/>
        </w:trPr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__________________________</w:t>
            </w:r>
          </w:p>
        </w:tc>
      </w:tr>
      <w:tr w:rsidR="009726A7" w:rsidRPr="00A96A3B" w:rsidTr="00ED0639"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9726A7" w:rsidRPr="00A96A3B" w:rsidRDefault="009726A7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9726A7" w:rsidRPr="00A96A3B" w:rsidRDefault="009726A7" w:rsidP="00A96A3B">
      <w:pPr>
        <w:rPr>
          <w:b/>
        </w:rPr>
      </w:pPr>
    </w:p>
    <w:p w:rsidR="009726A7" w:rsidRPr="00C411AF" w:rsidRDefault="009726A7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9726A7" w:rsidRPr="00C411AF" w:rsidRDefault="009726A7" w:rsidP="00721A45">
      <w:pPr>
        <w:jc w:val="right"/>
        <w:rPr>
          <w:b/>
          <w:i/>
        </w:rPr>
      </w:pPr>
    </w:p>
    <w:p w:rsidR="009726A7" w:rsidRPr="003E1BCF" w:rsidRDefault="009726A7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9726A7" w:rsidRDefault="009726A7" w:rsidP="00721A45">
      <w:pPr>
        <w:ind w:firstLine="288"/>
        <w:jc w:val="center"/>
        <w:rPr>
          <w:b/>
        </w:rPr>
      </w:pPr>
    </w:p>
    <w:p w:rsidR="009726A7" w:rsidRDefault="009726A7" w:rsidP="00886E62">
      <w:pPr>
        <w:ind w:left="6372"/>
        <w:rPr>
          <w:b/>
        </w:rPr>
      </w:pPr>
      <w:r>
        <w:rPr>
          <w:b/>
        </w:rPr>
        <w:t>ДО</w:t>
      </w:r>
    </w:p>
    <w:p w:rsidR="009726A7" w:rsidRDefault="009726A7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9726A7" w:rsidRDefault="009726A7" w:rsidP="00721A45">
      <w:pPr>
        <w:ind w:firstLine="288"/>
        <w:jc w:val="center"/>
        <w:rPr>
          <w:b/>
        </w:rPr>
      </w:pPr>
    </w:p>
    <w:p w:rsidR="009726A7" w:rsidRDefault="009726A7" w:rsidP="00721A45">
      <w:pPr>
        <w:ind w:firstLine="288"/>
        <w:jc w:val="center"/>
        <w:rPr>
          <w:b/>
        </w:rPr>
      </w:pPr>
    </w:p>
    <w:p w:rsidR="009726A7" w:rsidRPr="00C411AF" w:rsidRDefault="009726A7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9726A7" w:rsidRPr="00C411AF" w:rsidRDefault="009726A7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9726A7" w:rsidRDefault="009726A7" w:rsidP="00721A45">
      <w:pPr>
        <w:jc w:val="right"/>
        <w:rPr>
          <w:b/>
        </w:rPr>
      </w:pPr>
    </w:p>
    <w:p w:rsidR="009726A7" w:rsidRDefault="009726A7" w:rsidP="00A96A3B">
      <w:pPr>
        <w:ind w:firstLine="288"/>
        <w:jc w:val="center"/>
        <w:rPr>
          <w:color w:val="000000"/>
          <w:sz w:val="22"/>
          <w:szCs w:val="22"/>
        </w:rPr>
      </w:pP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</w:p>
    <w:p w:rsidR="009726A7" w:rsidRPr="00630A38" w:rsidRDefault="009726A7" w:rsidP="00A96A3B">
      <w:pPr>
        <w:ind w:firstLine="288"/>
        <w:jc w:val="center"/>
        <w:rPr>
          <w:b/>
        </w:rPr>
      </w:pPr>
    </w:p>
    <w:p w:rsidR="009726A7" w:rsidRPr="00630A38" w:rsidRDefault="009726A7" w:rsidP="00A96A3B">
      <w:pPr>
        <w:ind w:left="17"/>
        <w:jc w:val="both"/>
      </w:pPr>
      <w:r w:rsidRPr="00630A38">
        <w:t>От:______________________________________________________________</w:t>
      </w:r>
    </w:p>
    <w:p w:rsidR="009726A7" w:rsidRPr="00630A38" w:rsidRDefault="009726A7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9726A7" w:rsidRPr="00630A38" w:rsidRDefault="009726A7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9726A7" w:rsidRPr="00630A38" w:rsidRDefault="009726A7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9726A7" w:rsidRPr="00630A38" w:rsidRDefault="009726A7" w:rsidP="00A96A3B">
      <w:pPr>
        <w:ind w:firstLine="288"/>
        <w:jc w:val="both"/>
        <w:rPr>
          <w:b/>
        </w:rPr>
      </w:pPr>
    </w:p>
    <w:p w:rsidR="009726A7" w:rsidRPr="00630A38" w:rsidRDefault="009726A7" w:rsidP="00A96A3B">
      <w:pPr>
        <w:ind w:firstLine="513"/>
        <w:jc w:val="both"/>
      </w:pPr>
    </w:p>
    <w:p w:rsidR="009726A7" w:rsidRPr="00630A38" w:rsidRDefault="009726A7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9726A7" w:rsidRPr="00630A38" w:rsidRDefault="009726A7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9726A7" w:rsidRPr="00991454" w:rsidRDefault="009726A7" w:rsidP="00991454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Pr="004E2FFC">
        <w:rPr>
          <w:color w:val="000000"/>
          <w:sz w:val="22"/>
          <w:szCs w:val="22"/>
        </w:rPr>
        <w:t>“</w:t>
      </w:r>
      <w:r w:rsidRPr="004E2FFC">
        <w:rPr>
          <w:iCs/>
          <w:sz w:val="22"/>
          <w:szCs w:val="22"/>
          <w:lang w:eastAsia="en-US"/>
        </w:rPr>
        <w:t>БЛАГОУСТРОЯВАНЕ ГРОБИЩЕН ПАРК В С.</w:t>
      </w:r>
      <w:r w:rsidRPr="004E2FFC">
        <w:rPr>
          <w:iCs/>
          <w:sz w:val="22"/>
          <w:szCs w:val="22"/>
        </w:rPr>
        <w:t xml:space="preserve"> </w:t>
      </w:r>
      <w:r w:rsidRPr="004E2FFC">
        <w:rPr>
          <w:iCs/>
          <w:sz w:val="22"/>
          <w:szCs w:val="22"/>
          <w:lang w:eastAsia="en-US"/>
        </w:rPr>
        <w:t>СТАРЦЕВО</w:t>
      </w:r>
      <w:r w:rsidRPr="004E2FFC">
        <w:rPr>
          <w:iCs/>
          <w:sz w:val="22"/>
          <w:szCs w:val="22"/>
        </w:rPr>
        <w:t>, ЧАСТ 2: „ПОДПОРНА СТЕНА С АЖУРЕН ПАРАПЕТ”</w:t>
      </w:r>
      <w:r w:rsidRPr="004E2FFC">
        <w:rPr>
          <w:color w:val="000000"/>
          <w:sz w:val="22"/>
          <w:szCs w:val="22"/>
        </w:rPr>
        <w:t xml:space="preserve"> В УПИ Х-ЗА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ГРОБИЩЕН  ПАРК, КВ.46 ПО ПУП НА С. СТАРЦЕВО,</w:t>
      </w:r>
      <w:r w:rsidRPr="004E2FFC">
        <w:rPr>
          <w:color w:val="000000"/>
          <w:sz w:val="22"/>
          <w:szCs w:val="22"/>
          <w:lang w:val="ru-RU"/>
        </w:rPr>
        <w:t xml:space="preserve"> </w:t>
      </w:r>
      <w:r w:rsidRPr="004E2FFC">
        <w:rPr>
          <w:color w:val="000000"/>
          <w:sz w:val="22"/>
          <w:szCs w:val="22"/>
        </w:rPr>
        <w:t>ОБЩ. ЗЛАТОГРАД”</w:t>
      </w:r>
      <w:r>
        <w:rPr>
          <w:color w:val="000000"/>
        </w:rPr>
        <w:t>.</w:t>
      </w:r>
    </w:p>
    <w:p w:rsidR="009726A7" w:rsidRDefault="009726A7" w:rsidP="00A96A3B">
      <w:pPr>
        <w:ind w:firstLine="708"/>
        <w:jc w:val="center"/>
        <w:rPr>
          <w:b/>
          <w:i/>
        </w:rPr>
      </w:pPr>
    </w:p>
    <w:p w:rsidR="009726A7" w:rsidRPr="00C02A54" w:rsidRDefault="009726A7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9726A7" w:rsidRPr="00C02A54" w:rsidRDefault="009726A7" w:rsidP="00A96A3B"/>
    <w:p w:rsidR="009726A7" w:rsidRPr="00C02A54" w:rsidRDefault="009726A7" w:rsidP="00427B46">
      <w:pPr>
        <w:tabs>
          <w:tab w:val="left" w:pos="0"/>
        </w:tabs>
        <w:jc w:val="both"/>
      </w:pPr>
      <w:r w:rsidRPr="00C02A54">
        <w:tab/>
        <w:t>За изпълнение на предмета на поръчката в съответствие с условията на настоящата процедура, общата цена</w:t>
      </w:r>
      <w:r>
        <w:t>,</w:t>
      </w:r>
      <w:r w:rsidRPr="00C02A54">
        <w:t xml:space="preserve"> </w:t>
      </w:r>
      <w:r w:rsidRPr="00E612D0">
        <w:rPr>
          <w:rFonts w:eastAsia="Verdana-Bold"/>
        </w:rPr>
        <w:t xml:space="preserve">в това число и </w:t>
      </w:r>
      <w:r>
        <w:rPr>
          <w:rFonts w:eastAsia="Verdana-Bold"/>
        </w:rPr>
        <w:t>стойността на 5</w:t>
      </w:r>
      <w:r w:rsidRPr="00805DEA">
        <w:rPr>
          <w:rFonts w:eastAsia="Verdana-Bold"/>
        </w:rPr>
        <w:t>% непредвидени</w:t>
      </w:r>
      <w:r w:rsidRPr="00E612D0">
        <w:rPr>
          <w:rFonts w:eastAsia="Verdana-Bold"/>
        </w:rPr>
        <w:t xml:space="preserve"> дейности</w:t>
      </w:r>
      <w:r>
        <w:t xml:space="preserve">, </w:t>
      </w:r>
      <w:r w:rsidRPr="00C02A54">
        <w:t>на нашето предложение възлиза на:</w:t>
      </w:r>
    </w:p>
    <w:p w:rsidR="009726A7" w:rsidRDefault="009726A7" w:rsidP="00A96A3B">
      <w:pPr>
        <w:ind w:firstLine="720"/>
        <w:jc w:val="center"/>
      </w:pPr>
      <w:r w:rsidRPr="00C02A54">
        <w:t>_________________ лева без ДДС</w:t>
      </w:r>
    </w:p>
    <w:p w:rsidR="009726A7" w:rsidRPr="00C02A54" w:rsidRDefault="009726A7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9726A7" w:rsidRDefault="009726A7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9726A7" w:rsidRPr="00C02A54" w:rsidRDefault="009726A7" w:rsidP="00A96A3B">
      <w:pPr>
        <w:ind w:firstLine="720"/>
        <w:jc w:val="center"/>
      </w:pPr>
    </w:p>
    <w:p w:rsidR="009726A7" w:rsidRPr="00E612D0" w:rsidRDefault="009726A7" w:rsidP="00F91069">
      <w:pPr>
        <w:ind w:firstLine="709"/>
        <w:jc w:val="both"/>
      </w:pPr>
      <w:r w:rsidRPr="00E612D0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9726A7" w:rsidRPr="00C30C97" w:rsidRDefault="009726A7" w:rsidP="00F91069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9726A7" w:rsidRDefault="009726A7" w:rsidP="00F91069">
      <w:pPr>
        <w:ind w:firstLine="360"/>
        <w:jc w:val="both"/>
        <w:rPr>
          <w:rFonts w:eastAsia="Verdana-Bold"/>
        </w:rPr>
      </w:pPr>
    </w:p>
    <w:p w:rsidR="009726A7" w:rsidRPr="00E612D0" w:rsidRDefault="009726A7" w:rsidP="00F91069">
      <w:pPr>
        <w:ind w:firstLine="360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механизация - ... %; 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доставно-складови разходи - .. .%;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:rsidR="009726A7" w:rsidRPr="00E612D0" w:rsidRDefault="009726A7" w:rsidP="00F91069">
      <w:pPr>
        <w:tabs>
          <w:tab w:val="left" w:pos="0"/>
        </w:tabs>
        <w:spacing w:before="120"/>
        <w:jc w:val="both"/>
      </w:pPr>
      <w:r>
        <w:tab/>
      </w:r>
      <w:r w:rsidRPr="00E612D0">
        <w:t>В предложената цена е включена и стойността на непредвидени разходи във връзка с необходимостта от изпълнение на допълнително възникнали видове работи. Същите ще ни бъдат заплатени само в случаите, когато необходимостта от изпълнението им възникне след сключването на договора. Допълнително възникналите видове работи ще бъдат изпълнявани след доказването на необходимостта от тях и одобряването им от Възложителя и Строителния надзор. Същите се остойностяват по единичните цени за отделните видове строително-монтажни работи, посочени в количествено - стойностната сметка, а в случай, че няма определени единични цени - се остойностяват със следните показателите за ценообразуване: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средна часова ставка – ….. лв. /час;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труд - ….. %;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механизация - ….. %;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 – складови разходи – …. %;</w:t>
      </w:r>
    </w:p>
    <w:p w:rsidR="009726A7" w:rsidRPr="00E612D0" w:rsidRDefault="009726A7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– …. %.</w:t>
      </w:r>
    </w:p>
    <w:p w:rsidR="009726A7" w:rsidRDefault="009726A7" w:rsidP="008E48D2">
      <w:pPr>
        <w:ind w:firstLine="709"/>
        <w:jc w:val="both"/>
      </w:pPr>
    </w:p>
    <w:p w:rsidR="009726A7" w:rsidRDefault="009726A7" w:rsidP="008E48D2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9726A7" w:rsidRPr="00E612D0" w:rsidRDefault="009726A7" w:rsidP="00F91069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сметка (Приложение № 1) </w:t>
      </w:r>
      <w:r w:rsidRPr="00E612D0">
        <w:t>и анализите за образуване на единичните цени</w:t>
      </w:r>
      <w:r>
        <w:t xml:space="preserve"> (Приложение № 2)</w:t>
      </w:r>
      <w:r w:rsidRPr="00E612D0">
        <w:t>.</w:t>
      </w:r>
    </w:p>
    <w:p w:rsidR="009726A7" w:rsidRPr="00C93A5E" w:rsidRDefault="009726A7" w:rsidP="008E48D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 и обща цена по Приложение № 1  - ще се счита, че ценовото предложение на участника не отговаря на изискванията на възложителя.</w:t>
      </w:r>
    </w:p>
    <w:p w:rsidR="009726A7" w:rsidRPr="00C93A5E" w:rsidRDefault="009726A7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9726A7" w:rsidRPr="00C93A5E" w:rsidRDefault="009726A7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9726A7" w:rsidRPr="00C93A5E" w:rsidRDefault="009726A7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9726A7" w:rsidRPr="00F82B11" w:rsidRDefault="009726A7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9726A7" w:rsidRDefault="009726A7" w:rsidP="008E48D2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:rsidR="009726A7" w:rsidRDefault="009726A7" w:rsidP="008E48D2">
      <w:pPr>
        <w:tabs>
          <w:tab w:val="left" w:pos="0"/>
        </w:tabs>
        <w:spacing w:before="120"/>
        <w:jc w:val="both"/>
      </w:pPr>
    </w:p>
    <w:p w:rsidR="009726A7" w:rsidRPr="00C02A54" w:rsidRDefault="009726A7" w:rsidP="008E48D2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9726A7" w:rsidRPr="00443027" w:rsidRDefault="009726A7" w:rsidP="008E48D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9726A7" w:rsidRDefault="009726A7" w:rsidP="00E02825">
      <w:pPr>
        <w:tabs>
          <w:tab w:val="left" w:pos="0"/>
        </w:tabs>
        <w:jc w:val="both"/>
      </w:pPr>
    </w:p>
    <w:p w:rsidR="009726A7" w:rsidRDefault="009726A7" w:rsidP="00E02825">
      <w:pPr>
        <w:tabs>
          <w:tab w:val="left" w:pos="0"/>
        </w:tabs>
        <w:jc w:val="both"/>
        <w:rPr>
          <w:b/>
          <w:i/>
        </w:rPr>
      </w:pPr>
      <w:r w:rsidRPr="00C02A54">
        <w:tab/>
      </w:r>
      <w:r>
        <w:rPr>
          <w:b/>
          <w:i/>
        </w:rPr>
        <w:t>Приложения</w:t>
      </w:r>
      <w:r w:rsidRPr="00C02A54">
        <w:rPr>
          <w:b/>
          <w:i/>
        </w:rPr>
        <w:t>:</w:t>
      </w:r>
    </w:p>
    <w:p w:rsidR="009726A7" w:rsidRDefault="009726A7" w:rsidP="008E48D2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1);</w:t>
      </w:r>
    </w:p>
    <w:p w:rsidR="009726A7" w:rsidRPr="004F14A0" w:rsidRDefault="009726A7" w:rsidP="00935CD1">
      <w:pPr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:rsidR="009726A7" w:rsidRPr="00C02A54" w:rsidRDefault="009726A7" w:rsidP="008E48D2">
      <w:pPr>
        <w:ind w:firstLine="567"/>
        <w:rPr>
          <w:b/>
          <w:u w:val="single"/>
        </w:rPr>
      </w:pPr>
    </w:p>
    <w:p w:rsidR="009726A7" w:rsidRPr="00C02A54" w:rsidRDefault="009726A7" w:rsidP="008E48D2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726A7" w:rsidRPr="00C02A54" w:rsidTr="00DC153B"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________/ _________ / ______</w:t>
            </w:r>
          </w:p>
        </w:tc>
      </w:tr>
      <w:tr w:rsidR="009726A7" w:rsidRPr="00C02A54" w:rsidTr="00DC153B">
        <w:trPr>
          <w:trHeight w:val="351"/>
        </w:trPr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__________________________</w:t>
            </w:r>
          </w:p>
        </w:tc>
      </w:tr>
      <w:tr w:rsidR="009726A7" w:rsidRPr="00C02A54" w:rsidTr="00DC153B"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__________________________</w:t>
            </w:r>
          </w:p>
        </w:tc>
      </w:tr>
      <w:tr w:rsidR="009726A7" w:rsidRPr="00C02A54" w:rsidTr="00DC153B"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__________________________</w:t>
            </w:r>
          </w:p>
        </w:tc>
      </w:tr>
      <w:tr w:rsidR="009726A7" w:rsidRPr="00C02A54" w:rsidTr="00DC153B"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9726A7" w:rsidRPr="00C02A54" w:rsidRDefault="009726A7" w:rsidP="00DC153B">
            <w:pPr>
              <w:jc w:val="both"/>
            </w:pPr>
            <w:r w:rsidRPr="00C02A54">
              <w:t>__________________________</w:t>
            </w:r>
          </w:p>
        </w:tc>
      </w:tr>
    </w:tbl>
    <w:p w:rsidR="009726A7" w:rsidRDefault="009726A7" w:rsidP="0065690B"/>
    <w:sectPr w:rsidR="009726A7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A7" w:rsidRDefault="009726A7" w:rsidP="00C5450D">
      <w:r>
        <w:separator/>
      </w:r>
    </w:p>
  </w:endnote>
  <w:endnote w:type="continuationSeparator" w:id="0">
    <w:p w:rsidR="009726A7" w:rsidRDefault="009726A7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A7" w:rsidRDefault="009726A7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6A7" w:rsidRDefault="009726A7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A7" w:rsidRDefault="009726A7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726A7" w:rsidRDefault="009726A7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A7" w:rsidRDefault="009726A7" w:rsidP="00C5450D">
      <w:r>
        <w:separator/>
      </w:r>
    </w:p>
  </w:footnote>
  <w:footnote w:type="continuationSeparator" w:id="0">
    <w:p w:rsidR="009726A7" w:rsidRDefault="009726A7" w:rsidP="00C5450D">
      <w:r>
        <w:continuationSeparator/>
      </w:r>
    </w:p>
  </w:footnote>
  <w:footnote w:id="1">
    <w:p w:rsidR="009726A7" w:rsidRDefault="009726A7" w:rsidP="00A9150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>, са посочени в Техническата спецификация.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A7" w:rsidRPr="000529C7" w:rsidRDefault="009726A7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056C9"/>
    <w:rsid w:val="00010F65"/>
    <w:rsid w:val="0001155C"/>
    <w:rsid w:val="0002085B"/>
    <w:rsid w:val="0003334B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C1F65"/>
    <w:rsid w:val="000F1A76"/>
    <w:rsid w:val="00126735"/>
    <w:rsid w:val="00127AB7"/>
    <w:rsid w:val="0015510F"/>
    <w:rsid w:val="00155630"/>
    <w:rsid w:val="00162DCC"/>
    <w:rsid w:val="00164AD6"/>
    <w:rsid w:val="00167CA7"/>
    <w:rsid w:val="001728DB"/>
    <w:rsid w:val="0018184E"/>
    <w:rsid w:val="00182E73"/>
    <w:rsid w:val="00190B11"/>
    <w:rsid w:val="00194F6D"/>
    <w:rsid w:val="001A73DC"/>
    <w:rsid w:val="001B4F66"/>
    <w:rsid w:val="001C2F60"/>
    <w:rsid w:val="001C4190"/>
    <w:rsid w:val="001E1ED1"/>
    <w:rsid w:val="001F5287"/>
    <w:rsid w:val="00217263"/>
    <w:rsid w:val="00217B60"/>
    <w:rsid w:val="00224886"/>
    <w:rsid w:val="002301B8"/>
    <w:rsid w:val="00281C22"/>
    <w:rsid w:val="00281C44"/>
    <w:rsid w:val="00285A16"/>
    <w:rsid w:val="0029226F"/>
    <w:rsid w:val="002958B9"/>
    <w:rsid w:val="002A1511"/>
    <w:rsid w:val="002A524F"/>
    <w:rsid w:val="002C5A74"/>
    <w:rsid w:val="002D36AE"/>
    <w:rsid w:val="002E6026"/>
    <w:rsid w:val="0032716C"/>
    <w:rsid w:val="0035028D"/>
    <w:rsid w:val="0035203F"/>
    <w:rsid w:val="003542D5"/>
    <w:rsid w:val="00356D5A"/>
    <w:rsid w:val="00377698"/>
    <w:rsid w:val="003B01CD"/>
    <w:rsid w:val="003C1868"/>
    <w:rsid w:val="003C5B43"/>
    <w:rsid w:val="003D3E69"/>
    <w:rsid w:val="003D49EE"/>
    <w:rsid w:val="003D57C5"/>
    <w:rsid w:val="003E1BCF"/>
    <w:rsid w:val="003F64D2"/>
    <w:rsid w:val="004031DC"/>
    <w:rsid w:val="004056F1"/>
    <w:rsid w:val="0041442E"/>
    <w:rsid w:val="00427B46"/>
    <w:rsid w:val="00443027"/>
    <w:rsid w:val="004461DD"/>
    <w:rsid w:val="004548CF"/>
    <w:rsid w:val="00460A3C"/>
    <w:rsid w:val="00470BA8"/>
    <w:rsid w:val="00472014"/>
    <w:rsid w:val="00472DD7"/>
    <w:rsid w:val="00475276"/>
    <w:rsid w:val="0048173C"/>
    <w:rsid w:val="004917B7"/>
    <w:rsid w:val="00497C0F"/>
    <w:rsid w:val="004A5300"/>
    <w:rsid w:val="004B3F1B"/>
    <w:rsid w:val="004C7BF5"/>
    <w:rsid w:val="004E09B2"/>
    <w:rsid w:val="004E1404"/>
    <w:rsid w:val="004E2FFC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83055"/>
    <w:rsid w:val="005B1F48"/>
    <w:rsid w:val="005B532C"/>
    <w:rsid w:val="005B6B85"/>
    <w:rsid w:val="005C1512"/>
    <w:rsid w:val="005C645D"/>
    <w:rsid w:val="005E52E9"/>
    <w:rsid w:val="00614A7F"/>
    <w:rsid w:val="00627DF7"/>
    <w:rsid w:val="00630A38"/>
    <w:rsid w:val="00636C3A"/>
    <w:rsid w:val="006449AA"/>
    <w:rsid w:val="0065193E"/>
    <w:rsid w:val="0065690B"/>
    <w:rsid w:val="006A01DF"/>
    <w:rsid w:val="006B7C00"/>
    <w:rsid w:val="006D79DD"/>
    <w:rsid w:val="00713782"/>
    <w:rsid w:val="0071694A"/>
    <w:rsid w:val="00721A45"/>
    <w:rsid w:val="00731738"/>
    <w:rsid w:val="00732B5D"/>
    <w:rsid w:val="00743713"/>
    <w:rsid w:val="00760ED5"/>
    <w:rsid w:val="00763BC7"/>
    <w:rsid w:val="007754DF"/>
    <w:rsid w:val="00780A92"/>
    <w:rsid w:val="007B616B"/>
    <w:rsid w:val="007E0869"/>
    <w:rsid w:val="007F0B23"/>
    <w:rsid w:val="007F768C"/>
    <w:rsid w:val="00805DEA"/>
    <w:rsid w:val="00840835"/>
    <w:rsid w:val="008412F4"/>
    <w:rsid w:val="00854C63"/>
    <w:rsid w:val="008651F9"/>
    <w:rsid w:val="00870FA0"/>
    <w:rsid w:val="00886E62"/>
    <w:rsid w:val="008A60C3"/>
    <w:rsid w:val="008C2B31"/>
    <w:rsid w:val="008D0773"/>
    <w:rsid w:val="008D201C"/>
    <w:rsid w:val="008D418E"/>
    <w:rsid w:val="008E48D2"/>
    <w:rsid w:val="009179FE"/>
    <w:rsid w:val="00930445"/>
    <w:rsid w:val="00930B41"/>
    <w:rsid w:val="00932CA4"/>
    <w:rsid w:val="00935CD1"/>
    <w:rsid w:val="009508AC"/>
    <w:rsid w:val="0095162E"/>
    <w:rsid w:val="00952E7B"/>
    <w:rsid w:val="00954B1F"/>
    <w:rsid w:val="00957235"/>
    <w:rsid w:val="009726A7"/>
    <w:rsid w:val="0097307D"/>
    <w:rsid w:val="00986153"/>
    <w:rsid w:val="0098796C"/>
    <w:rsid w:val="00991454"/>
    <w:rsid w:val="009A54D0"/>
    <w:rsid w:val="00A10877"/>
    <w:rsid w:val="00A13950"/>
    <w:rsid w:val="00A209A9"/>
    <w:rsid w:val="00A569BE"/>
    <w:rsid w:val="00A57382"/>
    <w:rsid w:val="00A91500"/>
    <w:rsid w:val="00A96A3B"/>
    <w:rsid w:val="00AA0332"/>
    <w:rsid w:val="00AB6AA4"/>
    <w:rsid w:val="00AC0FB4"/>
    <w:rsid w:val="00AD0C74"/>
    <w:rsid w:val="00AD3EAA"/>
    <w:rsid w:val="00AD430B"/>
    <w:rsid w:val="00B14AE5"/>
    <w:rsid w:val="00B15CA5"/>
    <w:rsid w:val="00B636DA"/>
    <w:rsid w:val="00B655F7"/>
    <w:rsid w:val="00B87B3C"/>
    <w:rsid w:val="00B92670"/>
    <w:rsid w:val="00B956D5"/>
    <w:rsid w:val="00BA6BD6"/>
    <w:rsid w:val="00BB412D"/>
    <w:rsid w:val="00BE5D58"/>
    <w:rsid w:val="00BF0A16"/>
    <w:rsid w:val="00C02A54"/>
    <w:rsid w:val="00C12ECE"/>
    <w:rsid w:val="00C16DC1"/>
    <w:rsid w:val="00C30C97"/>
    <w:rsid w:val="00C36E97"/>
    <w:rsid w:val="00C411AF"/>
    <w:rsid w:val="00C5450D"/>
    <w:rsid w:val="00C569CE"/>
    <w:rsid w:val="00C71591"/>
    <w:rsid w:val="00C85261"/>
    <w:rsid w:val="00C93A5E"/>
    <w:rsid w:val="00CA1724"/>
    <w:rsid w:val="00CA1A3A"/>
    <w:rsid w:val="00CA7E6A"/>
    <w:rsid w:val="00CB16BE"/>
    <w:rsid w:val="00CC29ED"/>
    <w:rsid w:val="00CC2E7E"/>
    <w:rsid w:val="00CD1DA1"/>
    <w:rsid w:val="00D135E6"/>
    <w:rsid w:val="00D17798"/>
    <w:rsid w:val="00D22CE7"/>
    <w:rsid w:val="00D25D27"/>
    <w:rsid w:val="00D26EEC"/>
    <w:rsid w:val="00D43D4B"/>
    <w:rsid w:val="00D476D8"/>
    <w:rsid w:val="00D57E26"/>
    <w:rsid w:val="00D71FFA"/>
    <w:rsid w:val="00D75E30"/>
    <w:rsid w:val="00D94BE8"/>
    <w:rsid w:val="00DA3367"/>
    <w:rsid w:val="00DC153B"/>
    <w:rsid w:val="00DC2140"/>
    <w:rsid w:val="00DD1A80"/>
    <w:rsid w:val="00DD51B7"/>
    <w:rsid w:val="00DD7448"/>
    <w:rsid w:val="00DF5875"/>
    <w:rsid w:val="00DF660E"/>
    <w:rsid w:val="00E01A64"/>
    <w:rsid w:val="00E02825"/>
    <w:rsid w:val="00E13E69"/>
    <w:rsid w:val="00E24ACD"/>
    <w:rsid w:val="00E25814"/>
    <w:rsid w:val="00E36E21"/>
    <w:rsid w:val="00E422E3"/>
    <w:rsid w:val="00E478F3"/>
    <w:rsid w:val="00E5333B"/>
    <w:rsid w:val="00E6091B"/>
    <w:rsid w:val="00E612D0"/>
    <w:rsid w:val="00E82243"/>
    <w:rsid w:val="00E91328"/>
    <w:rsid w:val="00ED0639"/>
    <w:rsid w:val="00ED3B67"/>
    <w:rsid w:val="00EE2C3D"/>
    <w:rsid w:val="00F113AF"/>
    <w:rsid w:val="00F13768"/>
    <w:rsid w:val="00F2350D"/>
    <w:rsid w:val="00F26EB0"/>
    <w:rsid w:val="00F41CD1"/>
    <w:rsid w:val="00F45976"/>
    <w:rsid w:val="00F47CFE"/>
    <w:rsid w:val="00F73EC3"/>
    <w:rsid w:val="00F818B7"/>
    <w:rsid w:val="00F82B11"/>
    <w:rsid w:val="00F91069"/>
    <w:rsid w:val="00FB1971"/>
    <w:rsid w:val="00FC14F3"/>
    <w:rsid w:val="00FD1689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,Списък на абзаци,Цветен списък - Акцент 1,List Paragraph2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,Списък на абзаци Char,Цветен списък - Акцент 1 Char,List Paragraph2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99"/>
    <w:rsid w:val="0015510F"/>
    <w:pPr>
      <w:ind w:left="708"/>
    </w:pPr>
    <w:rPr>
      <w:rFonts w:eastAsia="Batang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491209" TargetMode="External"/><Relationship Id="rId39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204216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279799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11</Pages>
  <Words>3462</Words>
  <Characters>19737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cbodurova</cp:lastModifiedBy>
  <cp:revision>56</cp:revision>
  <cp:lastPrinted>2019-06-18T07:54:00Z</cp:lastPrinted>
  <dcterms:created xsi:type="dcterms:W3CDTF">2019-04-12T13:03:00Z</dcterms:created>
  <dcterms:modified xsi:type="dcterms:W3CDTF">2019-08-12T12:23:00Z</dcterms:modified>
</cp:coreProperties>
</file>